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62D9" w:rsidRDefault="00D02EBA">
      <w:pPr>
        <w:spacing w:after="0"/>
        <w:jc w:val="both"/>
        <w:rPr>
          <w:rFonts w:ascii="Garamond" w:hAnsi="Garamond" w:cs="Times New Roman"/>
          <w:sz w:val="24"/>
          <w:szCs w:val="24"/>
        </w:rPr>
      </w:pPr>
      <w:r>
        <w:rPr>
          <w:rFonts w:ascii="Garamond" w:hAnsi="Garamond" w:cs="Times New Roman"/>
          <w:noProof/>
          <w:sz w:val="24"/>
          <w:szCs w:val="24"/>
          <w:lang w:eastAsia="it-IT"/>
        </w:rPr>
        <w:drawing>
          <wp:anchor distT="0" distB="0" distL="114300" distR="114300" simplePos="0" relativeHeight="2" behindDoc="0" locked="0" layoutInCell="1" allowOverlap="1">
            <wp:simplePos x="0" y="0"/>
            <wp:positionH relativeFrom="column">
              <wp:posOffset>2708275</wp:posOffset>
            </wp:positionH>
            <wp:positionV relativeFrom="paragraph">
              <wp:posOffset>-27940</wp:posOffset>
            </wp:positionV>
            <wp:extent cx="895350" cy="1009650"/>
            <wp:effectExtent l="0" t="0" r="0" b="0"/>
            <wp:wrapNone/>
            <wp:docPr id="1" name="Immagine 1" descr="l'emblema: un ramo di ulivo e uno di quercia circondano la ruota dentata con al centro una st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l'emblema: un ramo di ulivo e uno di quercia circondano la ruota dentata con al centro una stella"/>
                    <pic:cNvPicPr>
                      <a:picLocks noChangeAspect="1" noChangeArrowheads="1"/>
                    </pic:cNvPicPr>
                  </pic:nvPicPr>
                  <pic:blipFill>
                    <a:blip r:embed="rId8"/>
                    <a:stretch>
                      <a:fillRect/>
                    </a:stretch>
                  </pic:blipFill>
                  <pic:spPr bwMode="auto">
                    <a:xfrm>
                      <a:off x="0" y="0"/>
                      <a:ext cx="895350" cy="1009650"/>
                    </a:xfrm>
                    <a:prstGeom prst="rect">
                      <a:avLst/>
                    </a:prstGeom>
                  </pic:spPr>
                </pic:pic>
              </a:graphicData>
            </a:graphic>
          </wp:anchor>
        </w:drawing>
      </w:r>
    </w:p>
    <w:p w:rsidR="004962D9" w:rsidRDefault="004962D9">
      <w:pPr>
        <w:spacing w:after="0"/>
        <w:ind w:firstLine="567"/>
        <w:jc w:val="center"/>
        <w:rPr>
          <w:rFonts w:ascii="Garamond" w:hAnsi="Garamond"/>
          <w:smallCaps/>
        </w:rPr>
      </w:pPr>
    </w:p>
    <w:p w:rsidR="004962D9" w:rsidRDefault="004962D9">
      <w:pPr>
        <w:spacing w:after="0"/>
        <w:ind w:firstLine="567"/>
        <w:jc w:val="center"/>
        <w:rPr>
          <w:rFonts w:ascii="Garamond" w:hAnsi="Garamond"/>
          <w:smallCaps/>
        </w:rPr>
      </w:pPr>
    </w:p>
    <w:p w:rsidR="004962D9" w:rsidRDefault="004962D9">
      <w:pPr>
        <w:spacing w:after="0"/>
        <w:ind w:firstLine="567"/>
        <w:jc w:val="center"/>
        <w:rPr>
          <w:rFonts w:ascii="Garamond" w:hAnsi="Garamond"/>
          <w:smallCaps/>
        </w:rPr>
      </w:pPr>
    </w:p>
    <w:p w:rsidR="004962D9" w:rsidRDefault="004962D9">
      <w:pPr>
        <w:spacing w:after="0"/>
        <w:ind w:right="-1" w:firstLine="567"/>
        <w:rPr>
          <w:rFonts w:ascii="Garamond" w:hAnsi="Garamond"/>
        </w:rPr>
      </w:pPr>
    </w:p>
    <w:p w:rsidR="004962D9" w:rsidRDefault="004962D9">
      <w:pPr>
        <w:spacing w:after="0"/>
        <w:ind w:right="-1" w:firstLine="567"/>
        <w:rPr>
          <w:rFonts w:ascii="Garamond" w:hAnsi="Garamond"/>
        </w:rPr>
      </w:pPr>
    </w:p>
    <w:p w:rsidR="004962D9" w:rsidRDefault="00D02EBA">
      <w:pPr>
        <w:spacing w:after="0"/>
        <w:ind w:right="-1" w:firstLine="567"/>
        <w:jc w:val="center"/>
        <w:rPr>
          <w:rFonts w:ascii="Garamond" w:hAnsi="Garamond"/>
          <w:b/>
          <w:smallCaps/>
          <w:sz w:val="40"/>
          <w:szCs w:val="40"/>
        </w:rPr>
      </w:pPr>
      <w:r>
        <w:rPr>
          <w:rFonts w:ascii="Garamond" w:hAnsi="Garamond"/>
          <w:b/>
          <w:smallCaps/>
          <w:sz w:val="40"/>
          <w:szCs w:val="40"/>
        </w:rPr>
        <w:t>Tribunale di Massa</w:t>
      </w:r>
    </w:p>
    <w:p w:rsidR="004962D9" w:rsidRDefault="00D02EBA">
      <w:pPr>
        <w:spacing w:after="0"/>
        <w:ind w:firstLine="567"/>
        <w:jc w:val="center"/>
        <w:rPr>
          <w:rFonts w:ascii="Garamond" w:hAnsi="Garamond"/>
          <w:b/>
          <w:smallCaps/>
          <w:sz w:val="26"/>
          <w:szCs w:val="26"/>
        </w:rPr>
      </w:pPr>
      <w:r>
        <w:rPr>
          <w:rFonts w:ascii="Garamond" w:hAnsi="Garamond"/>
          <w:b/>
          <w:smallCaps/>
          <w:sz w:val="26"/>
          <w:szCs w:val="26"/>
        </w:rPr>
        <w:t>Ufficio Esecuzioni Immobiliari</w:t>
      </w:r>
    </w:p>
    <w:p w:rsidR="004962D9" w:rsidRDefault="004962D9">
      <w:pPr>
        <w:pBdr>
          <w:bottom w:val="single" w:sz="12" w:space="1" w:color="00000A"/>
        </w:pBdr>
        <w:spacing w:after="0"/>
        <w:ind w:firstLine="567"/>
        <w:rPr>
          <w:rFonts w:ascii="Garamond" w:hAnsi="Garamond"/>
          <w:b/>
          <w:smallCaps/>
          <w:sz w:val="20"/>
        </w:rPr>
      </w:pPr>
    </w:p>
    <w:p w:rsidR="004962D9" w:rsidRDefault="004962D9">
      <w:pPr>
        <w:spacing w:after="0"/>
        <w:ind w:firstLine="567"/>
        <w:jc w:val="center"/>
        <w:rPr>
          <w:rFonts w:ascii="Garamond" w:hAnsi="Garamond"/>
          <w:b/>
          <w:smallCaps/>
          <w:sz w:val="20"/>
        </w:rPr>
      </w:pPr>
    </w:p>
    <w:p w:rsidR="004962D9" w:rsidRDefault="004962D9">
      <w:pPr>
        <w:pStyle w:val="Corpotesto"/>
        <w:spacing w:after="0" w:line="276" w:lineRule="auto"/>
        <w:ind w:firstLine="567"/>
        <w:jc w:val="center"/>
        <w:rPr>
          <w:rFonts w:ascii="Garamond" w:hAnsi="Garamond"/>
          <w:b/>
          <w:sz w:val="22"/>
          <w:szCs w:val="22"/>
        </w:rPr>
      </w:pPr>
    </w:p>
    <w:p w:rsidR="004962D9" w:rsidRDefault="00D02EBA">
      <w:pPr>
        <w:pStyle w:val="Corpotesto"/>
        <w:spacing w:after="0" w:line="276" w:lineRule="auto"/>
        <w:ind w:firstLine="567"/>
        <w:jc w:val="center"/>
        <w:rPr>
          <w:rFonts w:ascii="Garamond" w:hAnsi="Garamond"/>
          <w:sz w:val="22"/>
          <w:szCs w:val="22"/>
        </w:rPr>
      </w:pPr>
      <w:r>
        <w:rPr>
          <w:rFonts w:ascii="Garamond" w:hAnsi="Garamond"/>
          <w:b/>
          <w:sz w:val="22"/>
          <w:szCs w:val="22"/>
        </w:rPr>
        <w:t>Procedura N. _____/________ R.G. Esecuzioni Immobiliari</w:t>
      </w:r>
    </w:p>
    <w:p w:rsidR="004962D9" w:rsidRDefault="004962D9">
      <w:pPr>
        <w:spacing w:after="0"/>
        <w:ind w:firstLine="567"/>
        <w:jc w:val="both"/>
        <w:rPr>
          <w:rFonts w:ascii="Garamond" w:hAnsi="Garamond" w:cs="Times New Roman"/>
          <w:sz w:val="24"/>
          <w:szCs w:val="24"/>
        </w:rPr>
      </w:pPr>
    </w:p>
    <w:p w:rsidR="004962D9" w:rsidRDefault="004962D9">
      <w:pPr>
        <w:spacing w:after="0"/>
        <w:ind w:firstLine="567"/>
        <w:jc w:val="both"/>
        <w:rPr>
          <w:rFonts w:ascii="Garamond" w:hAnsi="Garamond" w:cs="Times New Roman"/>
          <w:sz w:val="24"/>
          <w:szCs w:val="24"/>
        </w:rPr>
      </w:pPr>
    </w:p>
    <w:p w:rsidR="004962D9" w:rsidRDefault="00D02EBA">
      <w:pPr>
        <w:spacing w:after="0"/>
        <w:ind w:firstLine="567"/>
        <w:jc w:val="center"/>
        <w:rPr>
          <w:rFonts w:ascii="Garamond" w:hAnsi="Garamond" w:cs="Times New Roman"/>
          <w:b/>
          <w:sz w:val="24"/>
          <w:szCs w:val="24"/>
        </w:rPr>
      </w:pPr>
      <w:r>
        <w:rPr>
          <w:rFonts w:ascii="Garamond" w:hAnsi="Garamond" w:cs="Times New Roman"/>
          <w:b/>
          <w:sz w:val="24"/>
          <w:szCs w:val="24"/>
        </w:rPr>
        <w:t>INFORMATIVA PER IL DEBITORE</w:t>
      </w:r>
    </w:p>
    <w:p w:rsidR="004962D9" w:rsidRDefault="004962D9">
      <w:pPr>
        <w:spacing w:after="0"/>
        <w:jc w:val="both"/>
        <w:rPr>
          <w:rFonts w:ascii="Garamond" w:hAnsi="Garamond" w:cs="Times New Roman"/>
          <w:sz w:val="24"/>
          <w:szCs w:val="24"/>
        </w:rPr>
      </w:pPr>
    </w:p>
    <w:p w:rsidR="004962D9" w:rsidRDefault="004962D9">
      <w:pPr>
        <w:spacing w:after="0"/>
        <w:jc w:val="both"/>
        <w:rPr>
          <w:rFonts w:ascii="Garamond" w:hAnsi="Garamond" w:cs="Times New Roman"/>
          <w:sz w:val="24"/>
          <w:szCs w:val="24"/>
        </w:rPr>
      </w:pPr>
    </w:p>
    <w:p w:rsidR="004962D9" w:rsidRDefault="00D02EBA">
      <w:pPr>
        <w:spacing w:after="0"/>
        <w:jc w:val="both"/>
        <w:rPr>
          <w:rFonts w:ascii="Garamond" w:hAnsi="Garamond" w:cs="Times New Roman"/>
          <w:sz w:val="24"/>
          <w:szCs w:val="24"/>
        </w:rPr>
      </w:pPr>
      <w:r>
        <w:rPr>
          <w:rFonts w:ascii="Garamond" w:hAnsi="Garamond" w:cs="Times New Roman"/>
          <w:sz w:val="24"/>
          <w:szCs w:val="24"/>
        </w:rPr>
        <w:t xml:space="preserve">I creditori che sono parte di questo processo hanno chiesto al Tribunale di vendere i beni immobili </w:t>
      </w:r>
      <w:r>
        <w:rPr>
          <w:rFonts w:ascii="Garamond" w:hAnsi="Garamond" w:cs="Times New Roman"/>
          <w:sz w:val="24"/>
          <w:szCs w:val="24"/>
        </w:rPr>
        <w:t>pignorati di sua proprietà, per pagare, con il ricavato della vendita, tutti o parte dei suoi debiti:</w:t>
      </w:r>
    </w:p>
    <w:p w:rsidR="004962D9" w:rsidRDefault="00D02EBA">
      <w:pPr>
        <w:pStyle w:val="Paragrafoelenco"/>
        <w:numPr>
          <w:ilvl w:val="0"/>
          <w:numId w:val="1"/>
        </w:numPr>
        <w:spacing w:after="0"/>
        <w:jc w:val="both"/>
        <w:rPr>
          <w:rFonts w:ascii="Garamond" w:hAnsi="Garamond" w:cs="Times New Roman"/>
          <w:sz w:val="24"/>
          <w:szCs w:val="24"/>
        </w:rPr>
      </w:pPr>
      <w:r>
        <w:rPr>
          <w:rFonts w:ascii="Garamond" w:hAnsi="Garamond" w:cs="Times New Roman"/>
          <w:sz w:val="24"/>
          <w:szCs w:val="24"/>
        </w:rPr>
        <w:t>nel caso in cui il ricavato della vendita, tolte le spese della procedura, sia inferiore ai debiti dei creditori che sono parte del processo, la parte che</w:t>
      </w:r>
      <w:r>
        <w:rPr>
          <w:rFonts w:ascii="Garamond" w:hAnsi="Garamond" w:cs="Times New Roman"/>
          <w:sz w:val="24"/>
          <w:szCs w:val="24"/>
        </w:rPr>
        <w:t xml:space="preserve"> resta rimarrà a suo carico;</w:t>
      </w:r>
    </w:p>
    <w:p w:rsidR="004962D9" w:rsidRDefault="00D02EBA">
      <w:pPr>
        <w:pStyle w:val="Paragrafoelenco"/>
        <w:numPr>
          <w:ilvl w:val="0"/>
          <w:numId w:val="1"/>
        </w:numPr>
        <w:spacing w:after="0"/>
        <w:jc w:val="both"/>
        <w:rPr>
          <w:rFonts w:ascii="Garamond" w:hAnsi="Garamond" w:cs="Times New Roman"/>
          <w:sz w:val="24"/>
          <w:szCs w:val="24"/>
        </w:rPr>
      </w:pPr>
      <w:r>
        <w:rPr>
          <w:rFonts w:ascii="Garamond" w:hAnsi="Garamond" w:cs="Times New Roman"/>
          <w:sz w:val="24"/>
          <w:szCs w:val="24"/>
        </w:rPr>
        <w:t>nel caso in cui, invece, il ricavato della vendita, tolte le spese della procedura, sia superiore ai debiti dei creditori che sono parte del processo, la somma che avanza le sarà restituita.</w:t>
      </w:r>
    </w:p>
    <w:p w:rsidR="004962D9" w:rsidRDefault="004962D9">
      <w:pPr>
        <w:spacing w:after="0"/>
        <w:jc w:val="both"/>
        <w:rPr>
          <w:rFonts w:ascii="Garamond" w:hAnsi="Garamond" w:cs="Times New Roman"/>
          <w:b/>
          <w:bCs/>
          <w:sz w:val="24"/>
          <w:szCs w:val="24"/>
        </w:rPr>
      </w:pPr>
    </w:p>
    <w:p w:rsidR="004962D9" w:rsidRDefault="00D02EBA">
      <w:pPr>
        <w:spacing w:after="0"/>
        <w:jc w:val="both"/>
        <w:rPr>
          <w:rFonts w:ascii="Garamond" w:hAnsi="Garamond" w:cs="Times New Roman"/>
          <w:b/>
          <w:bCs/>
          <w:sz w:val="24"/>
          <w:szCs w:val="24"/>
        </w:rPr>
      </w:pPr>
      <w:r>
        <w:rPr>
          <w:rFonts w:ascii="Garamond" w:hAnsi="Garamond" w:cs="Times New Roman"/>
          <w:b/>
          <w:bCs/>
          <w:sz w:val="24"/>
          <w:szCs w:val="24"/>
        </w:rPr>
        <w:t>RIFERIMENTI DEL CUSTODE:</w:t>
      </w:r>
    </w:p>
    <w:p w:rsidR="004962D9" w:rsidRDefault="00D02EBA">
      <w:pPr>
        <w:spacing w:after="0"/>
        <w:jc w:val="both"/>
        <w:rPr>
          <w:rFonts w:ascii="Garamond" w:hAnsi="Garamond" w:cs="Times New Roman"/>
          <w:b/>
          <w:bCs/>
          <w:sz w:val="24"/>
          <w:szCs w:val="24"/>
        </w:rPr>
      </w:pPr>
      <w:r>
        <w:rPr>
          <w:rFonts w:ascii="Garamond" w:hAnsi="Garamond" w:cs="Times New Roman"/>
          <w:b/>
          <w:bCs/>
          <w:sz w:val="24"/>
          <w:szCs w:val="24"/>
        </w:rPr>
        <w:t>________________________________________________________________________________________________________________________________________________________________</w:t>
      </w:r>
    </w:p>
    <w:p w:rsidR="004962D9" w:rsidRDefault="004962D9">
      <w:pPr>
        <w:spacing w:after="0"/>
        <w:jc w:val="both"/>
        <w:rPr>
          <w:rFonts w:ascii="Garamond" w:hAnsi="Garamond" w:cs="Times New Roman"/>
          <w:b/>
          <w:bCs/>
          <w:sz w:val="24"/>
          <w:szCs w:val="24"/>
        </w:rPr>
      </w:pPr>
    </w:p>
    <w:p w:rsidR="004962D9" w:rsidRDefault="00D02EBA">
      <w:pPr>
        <w:spacing w:after="0"/>
        <w:jc w:val="both"/>
        <w:rPr>
          <w:rFonts w:ascii="Garamond" w:hAnsi="Garamond" w:cs="Times New Roman"/>
          <w:b/>
          <w:bCs/>
          <w:sz w:val="24"/>
          <w:szCs w:val="24"/>
        </w:rPr>
      </w:pPr>
      <w:r>
        <w:rPr>
          <w:rFonts w:ascii="Garamond" w:hAnsi="Garamond" w:cs="Times New Roman"/>
          <w:b/>
          <w:bCs/>
          <w:sz w:val="24"/>
          <w:szCs w:val="24"/>
        </w:rPr>
        <w:t xml:space="preserve">IL RUOLO DEL CUSTODE: </w:t>
      </w:r>
    </w:p>
    <w:p w:rsidR="004962D9" w:rsidRDefault="00D02EBA">
      <w:pPr>
        <w:spacing w:after="0"/>
        <w:jc w:val="both"/>
        <w:rPr>
          <w:rFonts w:ascii="Garamond" w:hAnsi="Garamond" w:cs="Times New Roman"/>
          <w:sz w:val="24"/>
          <w:szCs w:val="24"/>
        </w:rPr>
      </w:pPr>
      <w:r>
        <w:rPr>
          <w:rFonts w:ascii="Garamond" w:hAnsi="Garamond" w:cs="Times New Roman"/>
          <w:sz w:val="24"/>
          <w:szCs w:val="24"/>
        </w:rPr>
        <w:t>Il Giudice dell’esecuzione ha nominato custode dell’immobile il profess</w:t>
      </w:r>
      <w:r>
        <w:rPr>
          <w:rFonts w:ascii="Garamond" w:hAnsi="Garamond" w:cs="Times New Roman"/>
          <w:sz w:val="24"/>
          <w:szCs w:val="24"/>
        </w:rPr>
        <w:t>ionista (avvocato, commercialista, notaio) che ha fatto accesso al suo immobile, come risulta dal provvedimento di nomina che le è stato notificato.</w:t>
      </w:r>
    </w:p>
    <w:p w:rsidR="004962D9" w:rsidRDefault="00D02EBA">
      <w:pPr>
        <w:spacing w:after="0"/>
        <w:jc w:val="both"/>
        <w:rPr>
          <w:rFonts w:ascii="Garamond" w:hAnsi="Garamond" w:cs="Times New Roman"/>
          <w:sz w:val="24"/>
          <w:szCs w:val="24"/>
        </w:rPr>
      </w:pPr>
      <w:r>
        <w:rPr>
          <w:rFonts w:ascii="Garamond" w:hAnsi="Garamond" w:cs="Times New Roman"/>
          <w:sz w:val="24"/>
          <w:szCs w:val="24"/>
        </w:rPr>
        <w:t>Il custode sta facendo un primo accesso all’immobile pignorato per verificare se il bene è occupato dal deb</w:t>
      </w:r>
      <w:r>
        <w:rPr>
          <w:rFonts w:ascii="Garamond" w:hAnsi="Garamond" w:cs="Times New Roman"/>
          <w:sz w:val="24"/>
          <w:szCs w:val="24"/>
        </w:rPr>
        <w:t>itore o da altre persone.</w:t>
      </w:r>
    </w:p>
    <w:p w:rsidR="004962D9" w:rsidRDefault="00D02EBA">
      <w:pPr>
        <w:spacing w:after="0"/>
        <w:jc w:val="both"/>
        <w:rPr>
          <w:rFonts w:ascii="Garamond" w:hAnsi="Garamond" w:cs="Times New Roman"/>
          <w:sz w:val="24"/>
          <w:szCs w:val="24"/>
        </w:rPr>
      </w:pPr>
      <w:r>
        <w:rPr>
          <w:rFonts w:ascii="Garamond" w:hAnsi="Garamond" w:cs="Times New Roman"/>
          <w:sz w:val="24"/>
          <w:szCs w:val="24"/>
        </w:rPr>
        <w:t>Tra i compiti del custode c’è anche quello di darle informazioni sul processo esecutivo e sui suoi doveri come occupante dell’immobile, che sono:</w:t>
      </w:r>
    </w:p>
    <w:p w:rsidR="004962D9" w:rsidRDefault="00D02EBA">
      <w:pPr>
        <w:spacing w:after="0"/>
        <w:jc w:val="both"/>
        <w:rPr>
          <w:rFonts w:ascii="Garamond" w:hAnsi="Garamond" w:cs="Times New Roman"/>
          <w:sz w:val="24"/>
          <w:szCs w:val="24"/>
        </w:rPr>
      </w:pPr>
      <w:r>
        <w:rPr>
          <w:rFonts w:ascii="Garamond" w:hAnsi="Garamond" w:cs="Times New Roman"/>
          <w:sz w:val="24"/>
          <w:szCs w:val="24"/>
        </w:rPr>
        <w:t>- l’occupante deve consentire i sopralluoghi dell’esperto stimatore anche all’intern</w:t>
      </w:r>
      <w:r>
        <w:rPr>
          <w:rFonts w:ascii="Garamond" w:hAnsi="Garamond" w:cs="Times New Roman"/>
          <w:sz w:val="24"/>
          <w:szCs w:val="24"/>
        </w:rPr>
        <w:t xml:space="preserve">o dell’immobile; </w:t>
      </w:r>
    </w:p>
    <w:p w:rsidR="004962D9" w:rsidRDefault="00D02EBA">
      <w:pPr>
        <w:spacing w:after="0"/>
        <w:jc w:val="both"/>
        <w:rPr>
          <w:rFonts w:ascii="Garamond" w:hAnsi="Garamond" w:cs="Times New Roman"/>
          <w:sz w:val="24"/>
          <w:szCs w:val="24"/>
        </w:rPr>
      </w:pPr>
      <w:r>
        <w:rPr>
          <w:rFonts w:ascii="Garamond" w:hAnsi="Garamond" w:cs="Times New Roman"/>
          <w:sz w:val="24"/>
          <w:szCs w:val="24"/>
        </w:rPr>
        <w:t>- l’occupante non deve in nessun modo ostacolare o comunque rendere difficile l’attività del custode;</w:t>
      </w:r>
    </w:p>
    <w:p w:rsidR="004962D9" w:rsidRDefault="00D02EBA">
      <w:pPr>
        <w:spacing w:after="0"/>
        <w:jc w:val="both"/>
        <w:rPr>
          <w:rFonts w:ascii="Garamond" w:hAnsi="Garamond" w:cs="Times New Roman"/>
          <w:sz w:val="24"/>
          <w:szCs w:val="24"/>
        </w:rPr>
      </w:pPr>
      <w:r>
        <w:rPr>
          <w:rFonts w:ascii="Garamond" w:hAnsi="Garamond" w:cs="Times New Roman"/>
          <w:sz w:val="24"/>
          <w:szCs w:val="24"/>
        </w:rPr>
        <w:t>- nei giorni concordati con il custode, l’occupante deve farsi trovare nell’immobile per consentirne la visita da parte dei terzi intere</w:t>
      </w:r>
      <w:r>
        <w:rPr>
          <w:rFonts w:ascii="Garamond" w:hAnsi="Garamond" w:cs="Times New Roman"/>
          <w:sz w:val="24"/>
          <w:szCs w:val="24"/>
        </w:rPr>
        <w:t>ssati all’acquisto accompagnati dal custode (o da suo ausiliario);</w:t>
      </w:r>
    </w:p>
    <w:p w:rsidR="004962D9" w:rsidRDefault="00D02EBA">
      <w:pPr>
        <w:spacing w:after="0"/>
        <w:jc w:val="both"/>
        <w:rPr>
          <w:rFonts w:ascii="Garamond" w:hAnsi="Garamond" w:cs="Times New Roman"/>
          <w:sz w:val="24"/>
          <w:szCs w:val="24"/>
        </w:rPr>
      </w:pPr>
      <w:r>
        <w:rPr>
          <w:rFonts w:ascii="Garamond" w:hAnsi="Garamond" w:cs="Times New Roman"/>
          <w:sz w:val="24"/>
          <w:szCs w:val="24"/>
        </w:rPr>
        <w:t>- il debitore deve provvedere al regolare pagamento delle spese condominiali e non può ricevere canoni di affitto o locazione dell’immobile, che saranno riscossi dal custode.</w:t>
      </w:r>
    </w:p>
    <w:p w:rsidR="004962D9" w:rsidRDefault="00D02EBA">
      <w:pPr>
        <w:spacing w:after="0"/>
        <w:jc w:val="both"/>
        <w:rPr>
          <w:rFonts w:ascii="Garamond" w:hAnsi="Garamond" w:cs="Times New Roman"/>
          <w:sz w:val="24"/>
          <w:szCs w:val="24"/>
        </w:rPr>
      </w:pPr>
      <w:r>
        <w:rPr>
          <w:rFonts w:ascii="Garamond" w:hAnsi="Garamond" w:cs="Times New Roman"/>
          <w:sz w:val="24"/>
          <w:szCs w:val="24"/>
        </w:rPr>
        <w:t>Il debitore po</w:t>
      </w:r>
      <w:r>
        <w:rPr>
          <w:rFonts w:ascii="Garamond" w:hAnsi="Garamond" w:cs="Times New Roman"/>
          <w:sz w:val="24"/>
          <w:szCs w:val="24"/>
        </w:rPr>
        <w:t>trà chiedere al custode qualsiasi ulteriore informazione.</w:t>
      </w:r>
    </w:p>
    <w:p w:rsidR="004962D9" w:rsidRDefault="004962D9">
      <w:pPr>
        <w:spacing w:after="0"/>
        <w:jc w:val="both"/>
        <w:rPr>
          <w:rFonts w:ascii="Garamond" w:hAnsi="Garamond" w:cs="Times New Roman"/>
          <w:b/>
          <w:bCs/>
          <w:sz w:val="24"/>
          <w:szCs w:val="24"/>
        </w:rPr>
      </w:pPr>
    </w:p>
    <w:p w:rsidR="004962D9" w:rsidRDefault="004962D9">
      <w:pPr>
        <w:spacing w:after="0"/>
        <w:jc w:val="both"/>
        <w:rPr>
          <w:rFonts w:ascii="Garamond" w:hAnsi="Garamond" w:cs="Times New Roman"/>
          <w:b/>
          <w:bCs/>
          <w:sz w:val="24"/>
          <w:szCs w:val="24"/>
        </w:rPr>
      </w:pPr>
    </w:p>
    <w:p w:rsidR="004962D9" w:rsidRDefault="00D02EBA">
      <w:pPr>
        <w:spacing w:after="0"/>
        <w:jc w:val="both"/>
        <w:rPr>
          <w:rFonts w:ascii="Garamond" w:hAnsi="Garamond" w:cs="Times New Roman"/>
          <w:b/>
          <w:bCs/>
          <w:sz w:val="24"/>
          <w:szCs w:val="24"/>
        </w:rPr>
      </w:pPr>
      <w:r>
        <w:rPr>
          <w:rFonts w:ascii="Garamond" w:hAnsi="Garamond" w:cs="Times New Roman"/>
          <w:b/>
          <w:bCs/>
          <w:sz w:val="24"/>
          <w:szCs w:val="24"/>
        </w:rPr>
        <w:lastRenderedPageBreak/>
        <w:t>COSA ACCADRÀ ORA:</w:t>
      </w:r>
    </w:p>
    <w:p w:rsidR="004962D9" w:rsidRDefault="00D02EBA">
      <w:pPr>
        <w:spacing w:after="0"/>
        <w:jc w:val="both"/>
        <w:rPr>
          <w:rFonts w:ascii="Garamond" w:hAnsi="Garamond" w:cs="Times New Roman"/>
          <w:sz w:val="24"/>
          <w:szCs w:val="24"/>
        </w:rPr>
      </w:pPr>
      <w:r>
        <w:rPr>
          <w:rFonts w:ascii="Garamond" w:hAnsi="Garamond" w:cs="Times New Roman"/>
          <w:sz w:val="24"/>
          <w:szCs w:val="24"/>
        </w:rPr>
        <w:t>Il giudice dell’esecuzione ha già nominato un custode e un esperto stimatore (cioè un geometra o architetto o ingegnere) per valutare il suo immobile, che, una volta effettuata l</w:t>
      </w:r>
      <w:r>
        <w:rPr>
          <w:rFonts w:ascii="Garamond" w:hAnsi="Garamond" w:cs="Times New Roman"/>
          <w:sz w:val="24"/>
          <w:szCs w:val="24"/>
        </w:rPr>
        <w:t>a stima, depositerà la sua relazione.</w:t>
      </w:r>
    </w:p>
    <w:p w:rsidR="004962D9" w:rsidRDefault="00D02EBA">
      <w:pPr>
        <w:spacing w:after="0"/>
        <w:jc w:val="both"/>
        <w:rPr>
          <w:rFonts w:ascii="Garamond" w:hAnsi="Garamond" w:cs="Times New Roman"/>
          <w:sz w:val="24"/>
          <w:szCs w:val="24"/>
        </w:rPr>
      </w:pPr>
      <w:r>
        <w:rPr>
          <w:rFonts w:ascii="Garamond" w:hAnsi="Garamond" w:cs="Times New Roman"/>
          <w:sz w:val="24"/>
          <w:szCs w:val="24"/>
        </w:rPr>
        <w:t>Il Giudice dell’esecuzione ha già fissato per il giorno ________________ l’udienza per esaminare la relazione di stima ed in quella occasione sarà disposta la vendita dell’immobile, che avverrà orientativamente nei suc</w:t>
      </w:r>
      <w:r>
        <w:rPr>
          <w:rFonts w:ascii="Garamond" w:hAnsi="Garamond" w:cs="Times New Roman"/>
          <w:sz w:val="24"/>
          <w:szCs w:val="24"/>
        </w:rPr>
        <w:t>cessivi 3/4 mesi.</w:t>
      </w:r>
    </w:p>
    <w:p w:rsidR="004962D9" w:rsidRDefault="00D02EBA">
      <w:pPr>
        <w:spacing w:after="0"/>
        <w:jc w:val="both"/>
        <w:rPr>
          <w:rFonts w:ascii="Garamond" w:hAnsi="Garamond" w:cs="Times New Roman"/>
          <w:sz w:val="24"/>
          <w:szCs w:val="24"/>
        </w:rPr>
      </w:pPr>
      <w:r>
        <w:rPr>
          <w:rFonts w:ascii="Garamond" w:hAnsi="Garamond" w:cs="Times New Roman"/>
          <w:sz w:val="24"/>
          <w:szCs w:val="24"/>
        </w:rPr>
        <w:t>Durante l’udienza verranno date disposizioni in ordine alla liberazione dell’immobile (se verrà messo in vendita l’immobile probabilmente verrà anche disposta la sua liberazione, con provvedimento che verrà eseguito dallo stesso custode),</w:t>
      </w:r>
      <w:r>
        <w:rPr>
          <w:rFonts w:ascii="Garamond" w:hAnsi="Garamond" w:cs="Times New Roman"/>
          <w:sz w:val="24"/>
          <w:szCs w:val="24"/>
        </w:rPr>
        <w:t xml:space="preserve"> tuttavia se il giudice dovesse verificare un comportamento non collaborativo da parte sua (anche ostacolando le operazioni di stima, la visita dell’immobile ai possibili acquirenti ecc.), potrà disporre l’immediato rilascio del bene (anche prima della udi</w:t>
      </w:r>
      <w:r>
        <w:rPr>
          <w:rFonts w:ascii="Garamond" w:hAnsi="Garamond" w:cs="Times New Roman"/>
          <w:sz w:val="24"/>
          <w:szCs w:val="24"/>
        </w:rPr>
        <w:t xml:space="preserve">enza sopra indicata). </w:t>
      </w:r>
    </w:p>
    <w:p w:rsidR="004962D9" w:rsidRDefault="00D02EBA">
      <w:pPr>
        <w:spacing w:after="0"/>
        <w:jc w:val="both"/>
        <w:rPr>
          <w:rFonts w:ascii="Garamond" w:hAnsi="Garamond" w:cs="Times New Roman"/>
          <w:sz w:val="24"/>
          <w:szCs w:val="24"/>
        </w:rPr>
      </w:pPr>
      <w:r>
        <w:rPr>
          <w:rFonts w:ascii="Garamond" w:hAnsi="Garamond" w:cs="Times New Roman"/>
          <w:sz w:val="24"/>
          <w:szCs w:val="24"/>
        </w:rPr>
        <w:t xml:space="preserve">Si sottolinea che è interesse del debitore limitare le spese della procedura, perché l’effetto </w:t>
      </w:r>
      <w:proofErr w:type="spellStart"/>
      <w:r>
        <w:rPr>
          <w:rFonts w:ascii="Garamond" w:hAnsi="Garamond" w:cs="Times New Roman"/>
          <w:sz w:val="24"/>
          <w:szCs w:val="24"/>
        </w:rPr>
        <w:t>esdebitativo</w:t>
      </w:r>
      <w:proofErr w:type="spellEnd"/>
      <w:r>
        <w:rPr>
          <w:rFonts w:ascii="Garamond" w:hAnsi="Garamond" w:cs="Times New Roman"/>
          <w:sz w:val="24"/>
          <w:szCs w:val="24"/>
        </w:rPr>
        <w:t xml:space="preserve"> della procedura (quanta parte del debito il debitore riesce a pagare con la vendita dell’immobile, con restituzione dell’even</w:t>
      </w:r>
      <w:r>
        <w:rPr>
          <w:rFonts w:ascii="Garamond" w:hAnsi="Garamond" w:cs="Times New Roman"/>
          <w:sz w:val="24"/>
          <w:szCs w:val="24"/>
        </w:rPr>
        <w:t xml:space="preserve">tuale eccedenza) si calcola alla fine della procedura sottraendo dal ricavato le spese della procedura. </w:t>
      </w:r>
    </w:p>
    <w:p w:rsidR="004962D9" w:rsidRDefault="00D02EBA">
      <w:pPr>
        <w:spacing w:after="0"/>
        <w:jc w:val="both"/>
        <w:rPr>
          <w:rFonts w:ascii="Garamond" w:hAnsi="Garamond" w:cs="Times New Roman"/>
          <w:sz w:val="24"/>
          <w:szCs w:val="24"/>
        </w:rPr>
      </w:pPr>
      <w:r>
        <w:rPr>
          <w:rFonts w:ascii="Garamond" w:hAnsi="Garamond" w:cs="Times New Roman"/>
          <w:sz w:val="24"/>
          <w:szCs w:val="24"/>
        </w:rPr>
        <w:t>L’ordine di liberazione e la sua esecuzione possono costituire titolo di preferenza per l’assegnazione di alloggi popolari.</w:t>
      </w:r>
    </w:p>
    <w:p w:rsidR="004962D9" w:rsidRDefault="004962D9">
      <w:pPr>
        <w:spacing w:after="0"/>
        <w:jc w:val="both"/>
        <w:rPr>
          <w:rFonts w:ascii="Garamond" w:hAnsi="Garamond" w:cs="Times New Roman"/>
          <w:i/>
          <w:iCs/>
          <w:sz w:val="24"/>
          <w:szCs w:val="24"/>
        </w:rPr>
      </w:pPr>
    </w:p>
    <w:p w:rsidR="004962D9" w:rsidRDefault="00D02EBA">
      <w:pPr>
        <w:spacing w:after="0"/>
        <w:jc w:val="both"/>
        <w:rPr>
          <w:rFonts w:ascii="Garamond" w:hAnsi="Garamond" w:cs="Times New Roman"/>
          <w:b/>
          <w:bCs/>
          <w:sz w:val="24"/>
          <w:szCs w:val="24"/>
        </w:rPr>
      </w:pPr>
      <w:r>
        <w:rPr>
          <w:rFonts w:ascii="Garamond" w:hAnsi="Garamond" w:cs="Times New Roman"/>
          <w:b/>
          <w:bCs/>
          <w:sz w:val="24"/>
          <w:szCs w:val="24"/>
        </w:rPr>
        <w:t>COSA E’ POSSIBILE FARE:</w:t>
      </w:r>
    </w:p>
    <w:p w:rsidR="004962D9" w:rsidRDefault="00D02EBA">
      <w:pPr>
        <w:spacing w:after="0"/>
        <w:jc w:val="both"/>
        <w:rPr>
          <w:rFonts w:ascii="Garamond" w:hAnsi="Garamond" w:cs="Times New Roman"/>
          <w:sz w:val="24"/>
          <w:szCs w:val="24"/>
        </w:rPr>
      </w:pPr>
      <w:r>
        <w:rPr>
          <w:rFonts w:ascii="Garamond" w:hAnsi="Garamond" w:cs="Times New Roman"/>
          <w:sz w:val="24"/>
          <w:szCs w:val="24"/>
        </w:rPr>
        <w:t>Gi</w:t>
      </w:r>
      <w:r>
        <w:rPr>
          <w:rFonts w:ascii="Garamond" w:hAnsi="Garamond" w:cs="Times New Roman"/>
          <w:sz w:val="24"/>
          <w:szCs w:val="24"/>
        </w:rPr>
        <w:t xml:space="preserve">à a questo punto la procedura ha sostenuto dei costi, che aumenteranno nel corso delle successive attività, quindi, se si vuole seguire una delle strade sotto indicate, è utile farlo il prima possibile per non sopportare maggiori costi. </w:t>
      </w:r>
    </w:p>
    <w:p w:rsidR="004962D9" w:rsidRDefault="00D02EBA">
      <w:pPr>
        <w:spacing w:after="0"/>
        <w:jc w:val="both"/>
        <w:rPr>
          <w:rFonts w:ascii="Garamond" w:hAnsi="Garamond" w:cs="Times New Roman"/>
          <w:sz w:val="24"/>
          <w:szCs w:val="24"/>
        </w:rPr>
      </w:pPr>
      <w:r>
        <w:rPr>
          <w:rFonts w:ascii="Garamond" w:hAnsi="Garamond" w:cs="Times New Roman"/>
          <w:sz w:val="24"/>
          <w:szCs w:val="24"/>
        </w:rPr>
        <w:t>Per sapere chi son</w:t>
      </w:r>
      <w:r>
        <w:rPr>
          <w:rFonts w:ascii="Garamond" w:hAnsi="Garamond" w:cs="Times New Roman"/>
          <w:sz w:val="24"/>
          <w:szCs w:val="24"/>
        </w:rPr>
        <w:t>o e quanti sono oggi i creditori della procedura, è possibile chiedere informazioni al custode.</w:t>
      </w:r>
    </w:p>
    <w:p w:rsidR="004962D9" w:rsidRDefault="00D02EBA">
      <w:pPr>
        <w:spacing w:after="0"/>
        <w:jc w:val="both"/>
        <w:rPr>
          <w:rFonts w:ascii="Garamond" w:hAnsi="Garamond" w:cs="Times New Roman"/>
          <w:sz w:val="24"/>
          <w:szCs w:val="24"/>
        </w:rPr>
      </w:pPr>
      <w:r>
        <w:rPr>
          <w:rFonts w:ascii="Garamond" w:hAnsi="Garamond" w:cs="Times New Roman"/>
          <w:b/>
          <w:sz w:val="24"/>
          <w:szCs w:val="24"/>
        </w:rPr>
        <w:t>OCC:</w:t>
      </w:r>
      <w:r>
        <w:rPr>
          <w:rFonts w:ascii="Garamond" w:hAnsi="Garamond" w:cs="Times New Roman"/>
          <w:sz w:val="24"/>
          <w:szCs w:val="24"/>
        </w:rPr>
        <w:t xml:space="preserve"> con l’ausilio di un organismo di composizione della crisi, composto da professionisti che analizzano </w:t>
      </w:r>
      <w:r>
        <w:rPr>
          <w:rFonts w:ascii="Garamond" w:hAnsi="Garamond" w:cs="Times New Roman"/>
          <w:sz w:val="24"/>
          <w:szCs w:val="24"/>
          <w:u w:val="single"/>
        </w:rPr>
        <w:t>l’intera situazione debitoria</w:t>
      </w:r>
      <w:r>
        <w:rPr>
          <w:rFonts w:ascii="Garamond" w:hAnsi="Garamond" w:cs="Times New Roman"/>
          <w:sz w:val="24"/>
          <w:szCs w:val="24"/>
        </w:rPr>
        <w:t xml:space="preserve"> del debitore (tenendo conto anche dei creditori che non stanno agendo in questa procedura), è possibile individuare una soluzione globale dell’insolvenza che, eventualmente anche attraverso la vendita dell’immobile, potrà consentire in alcuni casi la tota</w:t>
      </w:r>
      <w:r>
        <w:rPr>
          <w:rFonts w:ascii="Garamond" w:hAnsi="Garamond" w:cs="Times New Roman"/>
          <w:sz w:val="24"/>
          <w:szCs w:val="24"/>
        </w:rPr>
        <w:t>le cancellazione di tutti i debiti.</w:t>
      </w:r>
    </w:p>
    <w:p w:rsidR="004962D9" w:rsidRDefault="00D02EBA">
      <w:pPr>
        <w:spacing w:after="0"/>
        <w:jc w:val="both"/>
        <w:rPr>
          <w:rFonts w:ascii="Garamond" w:hAnsi="Garamond" w:cs="Times New Roman"/>
          <w:sz w:val="24"/>
          <w:szCs w:val="24"/>
        </w:rPr>
      </w:pPr>
      <w:r>
        <w:rPr>
          <w:rFonts w:ascii="Garamond" w:hAnsi="Garamond" w:cs="Times New Roman"/>
          <w:sz w:val="24"/>
          <w:szCs w:val="24"/>
        </w:rPr>
        <w:t>Nella provincia di Massa sono già stati istituiti diversi OCC, i cui riferimenti potranno essere reperiti su internet.</w:t>
      </w:r>
    </w:p>
    <w:p w:rsidR="004962D9" w:rsidRDefault="00D02EBA">
      <w:pPr>
        <w:spacing w:after="0"/>
        <w:jc w:val="both"/>
        <w:rPr>
          <w:rFonts w:ascii="Garamond" w:hAnsi="Garamond" w:cs="Times New Roman"/>
          <w:sz w:val="24"/>
          <w:szCs w:val="24"/>
        </w:rPr>
      </w:pPr>
      <w:r>
        <w:rPr>
          <w:rFonts w:ascii="Garamond" w:hAnsi="Garamond" w:cs="Times New Roman"/>
          <w:b/>
          <w:sz w:val="24"/>
          <w:szCs w:val="24"/>
        </w:rPr>
        <w:t>CONVERSIONE:</w:t>
      </w:r>
      <w:r>
        <w:rPr>
          <w:rFonts w:ascii="Garamond" w:hAnsi="Garamond" w:cs="Times New Roman"/>
          <w:sz w:val="24"/>
          <w:szCs w:val="24"/>
        </w:rPr>
        <w:t xml:space="preserve"> Se lei può pagare tutto, è possibile chiedere di farlo a rate, </w:t>
      </w:r>
      <w:r w:rsidRPr="00994F2A">
        <w:rPr>
          <w:rFonts w:ascii="Garamond" w:hAnsi="Garamond" w:cs="Times New Roman"/>
          <w:sz w:val="24"/>
          <w:szCs w:val="24"/>
          <w:u w:val="single"/>
        </w:rPr>
        <w:t xml:space="preserve">per un massimo di </w:t>
      </w:r>
      <w:r w:rsidR="00B6421F" w:rsidRPr="00994F2A">
        <w:rPr>
          <w:rFonts w:ascii="Garamond" w:hAnsi="Garamond" w:cs="Times New Roman"/>
          <w:sz w:val="24"/>
          <w:szCs w:val="24"/>
          <w:u w:val="single"/>
        </w:rPr>
        <w:t>48</w:t>
      </w:r>
      <w:r w:rsidR="00B6421F">
        <w:rPr>
          <w:rFonts w:ascii="Garamond" w:hAnsi="Garamond" w:cs="Times New Roman"/>
          <w:sz w:val="24"/>
          <w:szCs w:val="24"/>
        </w:rPr>
        <w:t>,</w:t>
      </w:r>
      <w:r>
        <w:rPr>
          <w:rFonts w:ascii="Garamond" w:hAnsi="Garamond" w:cs="Times New Roman"/>
          <w:sz w:val="24"/>
          <w:szCs w:val="24"/>
        </w:rPr>
        <w:t xml:space="preserve"> ma </w:t>
      </w:r>
      <w:r>
        <w:rPr>
          <w:rFonts w:ascii="Garamond" w:hAnsi="Garamond" w:cs="Times New Roman"/>
          <w:sz w:val="24"/>
          <w:szCs w:val="24"/>
        </w:rPr>
        <w:t xml:space="preserve">potrà farlo solo versando subito </w:t>
      </w:r>
      <w:r w:rsidRPr="00994F2A">
        <w:rPr>
          <w:rFonts w:ascii="Garamond" w:hAnsi="Garamond" w:cs="Times New Roman"/>
          <w:sz w:val="24"/>
          <w:szCs w:val="24"/>
          <w:u w:val="single"/>
        </w:rPr>
        <w:t xml:space="preserve">una somma pari ad un </w:t>
      </w:r>
      <w:r w:rsidR="00B6421F" w:rsidRPr="00994F2A">
        <w:rPr>
          <w:rFonts w:ascii="Garamond" w:hAnsi="Garamond" w:cs="Times New Roman"/>
          <w:sz w:val="24"/>
          <w:szCs w:val="24"/>
          <w:u w:val="single"/>
        </w:rPr>
        <w:t>sesto</w:t>
      </w:r>
      <w:r w:rsidRPr="00994F2A">
        <w:rPr>
          <w:rFonts w:ascii="Garamond" w:hAnsi="Garamond" w:cs="Times New Roman"/>
          <w:sz w:val="24"/>
          <w:szCs w:val="24"/>
          <w:u w:val="single"/>
        </w:rPr>
        <w:t xml:space="preserve"> dei debiti contenuti</w:t>
      </w:r>
      <w:r>
        <w:rPr>
          <w:rFonts w:ascii="Garamond" w:hAnsi="Garamond" w:cs="Times New Roman"/>
          <w:sz w:val="24"/>
          <w:szCs w:val="24"/>
        </w:rPr>
        <w:t xml:space="preserve"> nella procedura.</w:t>
      </w:r>
    </w:p>
    <w:p w:rsidR="004962D9" w:rsidRDefault="00D02EBA">
      <w:pPr>
        <w:spacing w:after="0"/>
        <w:jc w:val="both"/>
        <w:rPr>
          <w:rFonts w:ascii="Garamond" w:hAnsi="Garamond" w:cs="Times New Roman"/>
          <w:sz w:val="24"/>
          <w:szCs w:val="24"/>
        </w:rPr>
      </w:pPr>
      <w:r>
        <w:rPr>
          <w:rFonts w:ascii="Garamond" w:hAnsi="Garamond" w:cs="Times New Roman"/>
          <w:sz w:val="24"/>
          <w:szCs w:val="24"/>
        </w:rPr>
        <w:t>Per farlo è necessario presentare al giudice un’istanza (conversione del pignora</w:t>
      </w:r>
      <w:bookmarkStart w:id="0" w:name="_GoBack"/>
      <w:bookmarkEnd w:id="0"/>
      <w:r>
        <w:rPr>
          <w:rFonts w:ascii="Garamond" w:hAnsi="Garamond" w:cs="Times New Roman"/>
          <w:sz w:val="24"/>
          <w:szCs w:val="24"/>
        </w:rPr>
        <w:t>mento ai sensi dell’art. 495 del codice di procedura civile, compilando un mo</w:t>
      </w:r>
      <w:r>
        <w:rPr>
          <w:rFonts w:ascii="Garamond" w:hAnsi="Garamond" w:cs="Times New Roman"/>
          <w:sz w:val="24"/>
          <w:szCs w:val="24"/>
        </w:rPr>
        <w:t xml:space="preserve">dulo che si può trovare sul sito del Tribunale di Massa). </w:t>
      </w:r>
    </w:p>
    <w:p w:rsidR="004962D9" w:rsidRDefault="00D02EBA">
      <w:pPr>
        <w:spacing w:after="0"/>
        <w:jc w:val="both"/>
        <w:rPr>
          <w:rFonts w:ascii="Garamond" w:hAnsi="Garamond" w:cs="Times New Roman"/>
          <w:sz w:val="24"/>
          <w:szCs w:val="24"/>
        </w:rPr>
      </w:pPr>
      <w:r>
        <w:rPr>
          <w:rFonts w:ascii="Garamond" w:hAnsi="Garamond" w:cs="Times New Roman"/>
          <w:sz w:val="24"/>
          <w:szCs w:val="24"/>
        </w:rPr>
        <w:t>L’istanza può essere fatta anche senza assistenza di un avvocato e va depositata in cancelleria con un libretto nominativo intestato alla procedura esecutiva con una somma pari ad un quinto del tot</w:t>
      </w:r>
      <w:r>
        <w:rPr>
          <w:rFonts w:ascii="Garamond" w:hAnsi="Garamond" w:cs="Times New Roman"/>
          <w:sz w:val="24"/>
          <w:szCs w:val="24"/>
        </w:rPr>
        <w:t>ale dei crediti contenuti nella procedura (creditore procedente e tutti i creditori intervenuti).</w:t>
      </w:r>
    </w:p>
    <w:p w:rsidR="004962D9" w:rsidRDefault="00D02EBA">
      <w:pPr>
        <w:spacing w:after="0"/>
        <w:jc w:val="both"/>
        <w:rPr>
          <w:rFonts w:ascii="Garamond" w:hAnsi="Garamond" w:cs="Times New Roman"/>
          <w:sz w:val="24"/>
          <w:szCs w:val="24"/>
        </w:rPr>
      </w:pPr>
      <w:r>
        <w:rPr>
          <w:rFonts w:ascii="Garamond" w:hAnsi="Garamond" w:cs="Times New Roman"/>
          <w:sz w:val="24"/>
          <w:szCs w:val="24"/>
        </w:rPr>
        <w:t>L’istanza va depositata entro l’udienza: l’istanza di conversione è, infatti, inammissibile se presentata dopo che il giudice abbia autorizzato la vendita del</w:t>
      </w:r>
      <w:r>
        <w:rPr>
          <w:rFonts w:ascii="Garamond" w:hAnsi="Garamond" w:cs="Times New Roman"/>
          <w:sz w:val="24"/>
          <w:szCs w:val="24"/>
        </w:rPr>
        <w:t xml:space="preserve"> bene o disposto la sua assegnazione.</w:t>
      </w:r>
    </w:p>
    <w:p w:rsidR="004962D9" w:rsidRDefault="00D02EBA">
      <w:pPr>
        <w:spacing w:after="0"/>
        <w:jc w:val="both"/>
        <w:rPr>
          <w:rFonts w:ascii="Garamond" w:hAnsi="Garamond" w:cs="Times New Roman"/>
          <w:sz w:val="24"/>
          <w:szCs w:val="24"/>
        </w:rPr>
      </w:pPr>
      <w:r>
        <w:rPr>
          <w:rFonts w:ascii="Garamond" w:hAnsi="Garamond" w:cs="Times New Roman"/>
          <w:sz w:val="24"/>
          <w:szCs w:val="24"/>
        </w:rPr>
        <w:t>Per maggiori particolari, è possibile chiedere informazioni al custode o presso la Cancelleria della sezione esecuzioni immobiliari del Tribunale di Massa (sita al primo piano).</w:t>
      </w:r>
    </w:p>
    <w:p w:rsidR="004962D9" w:rsidRDefault="00D02EBA">
      <w:pPr>
        <w:spacing w:after="0"/>
        <w:jc w:val="both"/>
        <w:rPr>
          <w:rFonts w:ascii="Garamond" w:hAnsi="Garamond" w:cs="Times New Roman"/>
          <w:sz w:val="24"/>
          <w:szCs w:val="24"/>
        </w:rPr>
      </w:pPr>
      <w:r>
        <w:rPr>
          <w:rFonts w:ascii="Garamond" w:hAnsi="Garamond" w:cs="Times New Roman"/>
          <w:sz w:val="24"/>
          <w:szCs w:val="24"/>
        </w:rPr>
        <w:lastRenderedPageBreak/>
        <w:t>Il Giudice, se accoglie l’istanza calcol</w:t>
      </w:r>
      <w:r>
        <w:rPr>
          <w:rFonts w:ascii="Garamond" w:hAnsi="Garamond" w:cs="Times New Roman"/>
          <w:sz w:val="24"/>
          <w:szCs w:val="24"/>
        </w:rPr>
        <w:t>erà la somma totale da pagare successivamente a rate, comprendendo anche le spese di procedura (pignoramento, esperto, custode ecc.) e degli avvocati dei creditori, spese che aumentano via via con il passare del tempo: è pertanto suo interesse attivarsi il</w:t>
      </w:r>
      <w:r>
        <w:rPr>
          <w:rFonts w:ascii="Garamond" w:hAnsi="Garamond" w:cs="Times New Roman"/>
          <w:sz w:val="24"/>
          <w:szCs w:val="24"/>
        </w:rPr>
        <w:t xml:space="preserve"> prima possibile.</w:t>
      </w:r>
    </w:p>
    <w:p w:rsidR="004962D9" w:rsidRDefault="00D02EBA">
      <w:pPr>
        <w:spacing w:after="0"/>
        <w:jc w:val="both"/>
        <w:rPr>
          <w:rFonts w:ascii="Garamond" w:hAnsi="Garamond" w:cs="Times New Roman"/>
          <w:sz w:val="24"/>
          <w:szCs w:val="24"/>
        </w:rPr>
      </w:pPr>
      <w:r>
        <w:rPr>
          <w:rFonts w:ascii="Garamond" w:hAnsi="Garamond" w:cs="Times New Roman"/>
          <w:b/>
          <w:sz w:val="24"/>
          <w:szCs w:val="24"/>
        </w:rPr>
        <w:t>ACCORDO CON I CREDITORI:</w:t>
      </w:r>
      <w:r>
        <w:rPr>
          <w:rFonts w:ascii="Garamond" w:hAnsi="Garamond" w:cs="Times New Roman"/>
          <w:sz w:val="24"/>
          <w:szCs w:val="24"/>
        </w:rPr>
        <w:t xml:space="preserve"> Se lei è in grado di pagare solo una parte dei suoi debiti, è necessario proporre – a tutti i creditori che partecipano alla procedura - un accordo, secondo le sue possibilità. </w:t>
      </w:r>
    </w:p>
    <w:p w:rsidR="004962D9" w:rsidRDefault="00D02EBA">
      <w:pPr>
        <w:spacing w:after="0"/>
        <w:jc w:val="both"/>
        <w:rPr>
          <w:rFonts w:ascii="Garamond" w:hAnsi="Garamond" w:cs="Times New Roman"/>
          <w:sz w:val="24"/>
          <w:szCs w:val="24"/>
        </w:rPr>
      </w:pPr>
      <w:r>
        <w:rPr>
          <w:rFonts w:ascii="Garamond" w:hAnsi="Garamond" w:cs="Times New Roman"/>
          <w:sz w:val="24"/>
          <w:szCs w:val="24"/>
        </w:rPr>
        <w:t xml:space="preserve">Un accordo potrebbe prevedere ad </w:t>
      </w:r>
      <w:r>
        <w:rPr>
          <w:rFonts w:ascii="Garamond" w:hAnsi="Garamond" w:cs="Times New Roman"/>
          <w:sz w:val="24"/>
          <w:szCs w:val="24"/>
        </w:rPr>
        <w:t>esempio una riduzione del capitale e/o degli interessi, in misura varia (e che dipende da molteplici fattori: valore del bene pignorato, serietà della proposta, tempi di pagamento ecc.), ed anche una dilazione nei pagamenti.</w:t>
      </w:r>
    </w:p>
    <w:p w:rsidR="004962D9" w:rsidRDefault="00D02EBA">
      <w:pPr>
        <w:spacing w:after="0"/>
        <w:jc w:val="both"/>
        <w:rPr>
          <w:rFonts w:ascii="Garamond" w:hAnsi="Garamond" w:cs="Times New Roman"/>
          <w:sz w:val="24"/>
          <w:szCs w:val="24"/>
        </w:rPr>
      </w:pPr>
      <w:r>
        <w:rPr>
          <w:rFonts w:ascii="Garamond" w:hAnsi="Garamond" w:cs="Times New Roman"/>
          <w:sz w:val="24"/>
          <w:szCs w:val="24"/>
        </w:rPr>
        <w:t>I creditori in genere sono disp</w:t>
      </w:r>
      <w:r>
        <w:rPr>
          <w:rFonts w:ascii="Garamond" w:hAnsi="Garamond" w:cs="Times New Roman"/>
          <w:sz w:val="24"/>
          <w:szCs w:val="24"/>
        </w:rPr>
        <w:t>onibili ad esaminare proposte serie, anche a costo di una decurtazione del proprio credito o della concessione di rateazioni.</w:t>
      </w:r>
    </w:p>
    <w:p w:rsidR="004962D9" w:rsidRDefault="00D02EBA">
      <w:pPr>
        <w:spacing w:after="0"/>
        <w:jc w:val="both"/>
        <w:rPr>
          <w:rFonts w:ascii="Garamond" w:hAnsi="Garamond" w:cs="Times New Roman"/>
          <w:sz w:val="24"/>
          <w:szCs w:val="24"/>
        </w:rPr>
      </w:pPr>
      <w:r>
        <w:rPr>
          <w:rFonts w:ascii="Garamond" w:hAnsi="Garamond" w:cs="Times New Roman"/>
          <w:sz w:val="24"/>
          <w:szCs w:val="24"/>
        </w:rPr>
        <w:t>Qualsiasi trattativa deve essere condotta con tutti i creditori che partecipano al processo: basta infatti che un solo creditore c</w:t>
      </w:r>
      <w:r>
        <w:rPr>
          <w:rFonts w:ascii="Garamond" w:hAnsi="Garamond" w:cs="Times New Roman"/>
          <w:sz w:val="24"/>
          <w:szCs w:val="24"/>
        </w:rPr>
        <w:t xml:space="preserve">hieda la vendita perché si debba disporre la vendita. </w:t>
      </w:r>
    </w:p>
    <w:p w:rsidR="004962D9" w:rsidRDefault="00D02EBA">
      <w:pPr>
        <w:spacing w:after="0"/>
        <w:jc w:val="both"/>
        <w:rPr>
          <w:rFonts w:ascii="Garamond" w:hAnsi="Garamond" w:cs="Times New Roman"/>
          <w:sz w:val="24"/>
          <w:szCs w:val="24"/>
        </w:rPr>
      </w:pPr>
      <w:r>
        <w:rPr>
          <w:rFonts w:ascii="Garamond" w:hAnsi="Garamond" w:cs="Times New Roman"/>
          <w:sz w:val="24"/>
          <w:szCs w:val="24"/>
        </w:rPr>
        <w:t>Per i motivi già illustrati è consigliabile che anche le proposte transattive siano fatte ai creditori il più presto possibile.</w:t>
      </w:r>
    </w:p>
    <w:p w:rsidR="004962D9" w:rsidRDefault="00D02EBA">
      <w:pPr>
        <w:spacing w:after="0"/>
        <w:jc w:val="both"/>
        <w:rPr>
          <w:rFonts w:ascii="Garamond" w:hAnsi="Garamond" w:cs="Times New Roman"/>
          <w:sz w:val="24"/>
          <w:szCs w:val="24"/>
        </w:rPr>
      </w:pPr>
      <w:r>
        <w:rPr>
          <w:rFonts w:ascii="Garamond" w:hAnsi="Garamond" w:cs="Times New Roman"/>
          <w:sz w:val="24"/>
          <w:szCs w:val="24"/>
        </w:rPr>
        <w:t xml:space="preserve">L’accordo potrebbe portare ad una </w:t>
      </w:r>
      <w:r>
        <w:rPr>
          <w:rFonts w:ascii="Garamond" w:hAnsi="Garamond" w:cs="Times New Roman"/>
          <w:b/>
          <w:sz w:val="24"/>
          <w:szCs w:val="24"/>
          <w:u w:val="single"/>
        </w:rPr>
        <w:t>sospensione della procedura esecutiva</w:t>
      </w:r>
      <w:r>
        <w:rPr>
          <w:rFonts w:ascii="Garamond" w:hAnsi="Garamond" w:cs="Times New Roman"/>
          <w:sz w:val="24"/>
          <w:szCs w:val="24"/>
        </w:rPr>
        <w:t xml:space="preserve"> s</w:t>
      </w:r>
      <w:r>
        <w:rPr>
          <w:rFonts w:ascii="Garamond" w:hAnsi="Garamond" w:cs="Times New Roman"/>
          <w:sz w:val="24"/>
          <w:szCs w:val="24"/>
        </w:rPr>
        <w:t xml:space="preserve">u domanda di tutti i creditori per una durata fino a 2 anni, domanda che deve essere fatta entro 20 giorni prima della scadenza per la presentazione delle offerte per la vendita fissata dal professionista delegato. Attenzione che il mancato rispetto degli </w:t>
      </w:r>
      <w:r>
        <w:rPr>
          <w:rFonts w:ascii="Garamond" w:hAnsi="Garamond" w:cs="Times New Roman"/>
          <w:sz w:val="24"/>
          <w:szCs w:val="24"/>
        </w:rPr>
        <w:t>accordi può indurre ciascun creditore a interrompere la sospensione e chiedere la vendita. La sospensione può essere chiesta una sola volta.</w:t>
      </w:r>
    </w:p>
    <w:p w:rsidR="004962D9" w:rsidRDefault="00D02EBA">
      <w:pPr>
        <w:spacing w:after="0"/>
        <w:jc w:val="both"/>
        <w:rPr>
          <w:rFonts w:ascii="Garamond" w:hAnsi="Garamond" w:cs="Times New Roman"/>
          <w:sz w:val="24"/>
          <w:szCs w:val="24"/>
        </w:rPr>
      </w:pPr>
      <w:r>
        <w:rPr>
          <w:rFonts w:ascii="Garamond" w:hAnsi="Garamond" w:cs="Times New Roman"/>
          <w:b/>
          <w:sz w:val="24"/>
          <w:szCs w:val="24"/>
        </w:rPr>
        <w:t xml:space="preserve">VENDITA PRIVATA: </w:t>
      </w:r>
      <w:r>
        <w:rPr>
          <w:rFonts w:ascii="Garamond" w:hAnsi="Garamond" w:cs="Times New Roman"/>
          <w:sz w:val="24"/>
          <w:szCs w:val="24"/>
        </w:rPr>
        <w:t>L’esistenza del pignoramento non impedisce la vendita dell’immobile da parte sua, purché vi sia il</w:t>
      </w:r>
      <w:r>
        <w:rPr>
          <w:rFonts w:ascii="Garamond" w:hAnsi="Garamond" w:cs="Times New Roman"/>
          <w:sz w:val="24"/>
          <w:szCs w:val="24"/>
        </w:rPr>
        <w:t xml:space="preserve"> consenso dei creditori - ai quali sarà versato il ricavato della vendita, nei limiti del loro credito. In questo caso i creditori contestualmente all’incasso delle somme autorizzeranno la cancellazione delle eventuali ipoteche e del pignoramento.</w:t>
      </w:r>
    </w:p>
    <w:p w:rsidR="004962D9" w:rsidRDefault="00D02EBA">
      <w:pPr>
        <w:spacing w:after="0"/>
        <w:jc w:val="both"/>
        <w:rPr>
          <w:rFonts w:ascii="Garamond" w:hAnsi="Garamond" w:cs="Times New Roman"/>
          <w:sz w:val="24"/>
          <w:szCs w:val="24"/>
        </w:rPr>
      </w:pPr>
      <w:r>
        <w:rPr>
          <w:rFonts w:ascii="Garamond" w:hAnsi="Garamond" w:cs="Times New Roman"/>
          <w:sz w:val="24"/>
          <w:szCs w:val="24"/>
        </w:rPr>
        <w:t>La soluz</w:t>
      </w:r>
      <w:r>
        <w:rPr>
          <w:rFonts w:ascii="Garamond" w:hAnsi="Garamond" w:cs="Times New Roman"/>
          <w:sz w:val="24"/>
          <w:szCs w:val="24"/>
        </w:rPr>
        <w:t>ione di trovare un acquirente “privato” è preferibile se il valore di stima dell’immobile è inferiore alla somma dei debiti e si trova un accordo con i creditori a saldo e stralcio delle loro richieste, così che una volta venduto il bene non vi siano debit</w:t>
      </w:r>
      <w:r>
        <w:rPr>
          <w:rFonts w:ascii="Garamond" w:hAnsi="Garamond" w:cs="Times New Roman"/>
          <w:sz w:val="24"/>
          <w:szCs w:val="24"/>
        </w:rPr>
        <w:t>i residui.</w:t>
      </w:r>
    </w:p>
    <w:p w:rsidR="004962D9" w:rsidRDefault="004962D9">
      <w:pPr>
        <w:spacing w:after="0"/>
        <w:jc w:val="both"/>
        <w:rPr>
          <w:rFonts w:ascii="Garamond" w:hAnsi="Garamond" w:cs="Times New Roman"/>
          <w:b/>
          <w:bCs/>
          <w:sz w:val="24"/>
          <w:szCs w:val="24"/>
        </w:rPr>
      </w:pPr>
    </w:p>
    <w:p w:rsidR="004962D9" w:rsidRDefault="00D02EBA">
      <w:pPr>
        <w:spacing w:after="0"/>
        <w:jc w:val="both"/>
        <w:rPr>
          <w:rFonts w:ascii="Garamond" w:hAnsi="Garamond" w:cs="Times New Roman"/>
          <w:b/>
          <w:bCs/>
          <w:sz w:val="24"/>
          <w:szCs w:val="24"/>
        </w:rPr>
      </w:pPr>
      <w:r>
        <w:rPr>
          <w:rFonts w:ascii="Garamond" w:hAnsi="Garamond" w:cs="Times New Roman"/>
          <w:b/>
          <w:bCs/>
          <w:sz w:val="24"/>
          <w:szCs w:val="24"/>
        </w:rPr>
        <w:t>AVVERTENZA SU RESIDENZA O DOMICILIO:</w:t>
      </w:r>
    </w:p>
    <w:p w:rsidR="004962D9" w:rsidRDefault="00D02EBA">
      <w:pPr>
        <w:spacing w:after="0"/>
        <w:jc w:val="both"/>
        <w:rPr>
          <w:rFonts w:ascii="Garamond" w:hAnsi="Garamond" w:cs="Times New Roman"/>
          <w:sz w:val="24"/>
          <w:szCs w:val="24"/>
        </w:rPr>
      </w:pPr>
      <w:r>
        <w:rPr>
          <w:rFonts w:ascii="Garamond" w:hAnsi="Garamond" w:cs="Times New Roman"/>
          <w:sz w:val="24"/>
          <w:szCs w:val="24"/>
        </w:rPr>
        <w:t>Se non lo ha già fatto, a seguito dell’invito contenuto nell’atto di pignoramento, il debitore può fare presso la cancelleria del giudice dell’esecuzione la dichiarazione di residenza o l’elezione di domicil</w:t>
      </w:r>
      <w:r>
        <w:rPr>
          <w:rFonts w:ascii="Garamond" w:hAnsi="Garamond" w:cs="Times New Roman"/>
          <w:sz w:val="24"/>
          <w:szCs w:val="24"/>
        </w:rPr>
        <w:t>io in uno dei comuni del circondario del Tribunale di Massa.</w:t>
      </w:r>
    </w:p>
    <w:p w:rsidR="004962D9" w:rsidRDefault="00D02EBA">
      <w:pPr>
        <w:spacing w:after="0"/>
        <w:jc w:val="both"/>
        <w:rPr>
          <w:rFonts w:ascii="Garamond" w:hAnsi="Garamond" w:cs="Times New Roman"/>
          <w:sz w:val="24"/>
          <w:szCs w:val="24"/>
        </w:rPr>
      </w:pPr>
      <w:r>
        <w:rPr>
          <w:rFonts w:ascii="Garamond" w:hAnsi="Garamond" w:cs="Times New Roman"/>
          <w:sz w:val="24"/>
          <w:szCs w:val="24"/>
        </w:rPr>
        <w:t>In mancanza della dichiarazione di residenza o della elezione di domicilio tutti gli atti e gli avvisi a lei diretti saranno comunicati presso la cancelleria.</w:t>
      </w:r>
    </w:p>
    <w:p w:rsidR="004962D9" w:rsidRDefault="00D02EBA">
      <w:pPr>
        <w:spacing w:after="0"/>
        <w:jc w:val="both"/>
        <w:rPr>
          <w:rFonts w:ascii="Garamond" w:hAnsi="Garamond" w:cs="Times New Roman"/>
          <w:sz w:val="24"/>
          <w:szCs w:val="24"/>
        </w:rPr>
      </w:pPr>
      <w:r>
        <w:rPr>
          <w:rFonts w:ascii="Garamond" w:hAnsi="Garamond" w:cs="Times New Roman"/>
          <w:sz w:val="24"/>
          <w:szCs w:val="24"/>
        </w:rPr>
        <w:t>Di questi avvisi, pertanto, potrebbe</w:t>
      </w:r>
      <w:r>
        <w:rPr>
          <w:rFonts w:ascii="Garamond" w:hAnsi="Garamond" w:cs="Times New Roman"/>
          <w:sz w:val="24"/>
          <w:szCs w:val="24"/>
        </w:rPr>
        <w:t xml:space="preserve"> non avere mai effettiva conoscenza e la procedura potrebbe concludersi validamente nei suoi confronti senza che lei ne abbia saputo più nulla.</w:t>
      </w:r>
    </w:p>
    <w:p w:rsidR="004962D9" w:rsidRDefault="00D02EBA">
      <w:pPr>
        <w:spacing w:after="0"/>
        <w:jc w:val="both"/>
        <w:rPr>
          <w:rFonts w:ascii="Garamond" w:hAnsi="Garamond" w:cs="Times New Roman"/>
          <w:sz w:val="24"/>
          <w:szCs w:val="24"/>
        </w:rPr>
      </w:pPr>
      <w:r>
        <w:rPr>
          <w:rFonts w:ascii="Garamond" w:hAnsi="Garamond" w:cs="Times New Roman"/>
          <w:sz w:val="24"/>
          <w:szCs w:val="24"/>
        </w:rPr>
        <w:t>Se lei intende contestare il diritto di procedere ad esecuzione forzata dei creditori in relazione a fatti già v</w:t>
      </w:r>
      <w:r>
        <w:rPr>
          <w:rFonts w:ascii="Garamond" w:hAnsi="Garamond" w:cs="Times New Roman"/>
          <w:sz w:val="24"/>
          <w:szCs w:val="24"/>
        </w:rPr>
        <w:t>erificatisi alla data di emanazione delle ordinanze di vendita ovvero di assegnazione (ad esempio pagamento del debito ovvero caducazione del titolo esecutivo) o che i beni non possono essere pignorati, ricordi che l’opposizione all’esecuzione può essere p</w:t>
      </w:r>
      <w:r>
        <w:rPr>
          <w:rFonts w:ascii="Garamond" w:hAnsi="Garamond" w:cs="Times New Roman"/>
          <w:sz w:val="24"/>
          <w:szCs w:val="24"/>
        </w:rPr>
        <w:t>roposta solo prima che sia disposta la vendita o l’assegnazione.</w:t>
      </w:r>
    </w:p>
    <w:p w:rsidR="004962D9" w:rsidRDefault="004962D9">
      <w:pPr>
        <w:spacing w:after="0"/>
        <w:jc w:val="both"/>
        <w:rPr>
          <w:rFonts w:ascii="Garamond" w:hAnsi="Garamond" w:cs="Times New Roman"/>
          <w:b/>
          <w:bCs/>
          <w:sz w:val="24"/>
          <w:szCs w:val="24"/>
        </w:rPr>
      </w:pPr>
    </w:p>
    <w:p w:rsidR="004962D9" w:rsidRDefault="00D02EBA">
      <w:pPr>
        <w:spacing w:after="0"/>
        <w:jc w:val="both"/>
        <w:rPr>
          <w:rFonts w:ascii="Garamond" w:hAnsi="Garamond" w:cs="Times New Roman"/>
          <w:b/>
          <w:bCs/>
          <w:sz w:val="24"/>
          <w:szCs w:val="24"/>
        </w:rPr>
      </w:pPr>
      <w:r>
        <w:rPr>
          <w:rFonts w:ascii="Garamond" w:hAnsi="Garamond" w:cs="Times New Roman"/>
          <w:b/>
          <w:bCs/>
          <w:sz w:val="24"/>
          <w:szCs w:val="24"/>
        </w:rPr>
        <w:t>AVVERTENZE PER I COMPROPRIETARI:</w:t>
      </w:r>
    </w:p>
    <w:p w:rsidR="004962D9" w:rsidRDefault="00D02EBA">
      <w:pPr>
        <w:spacing w:after="0"/>
        <w:jc w:val="both"/>
        <w:rPr>
          <w:rFonts w:ascii="Garamond" w:hAnsi="Garamond" w:cs="Times New Roman"/>
          <w:sz w:val="24"/>
          <w:szCs w:val="24"/>
        </w:rPr>
      </w:pPr>
      <w:r>
        <w:rPr>
          <w:rFonts w:ascii="Garamond" w:hAnsi="Garamond" w:cs="Times New Roman"/>
          <w:sz w:val="24"/>
          <w:szCs w:val="24"/>
        </w:rPr>
        <w:lastRenderedPageBreak/>
        <w:t>I creditori hanno chiesto di vendere la parte dell’immobile di proprietà del debitore, allo scopo di pagare, con il ricavato, i debiti.</w:t>
      </w:r>
    </w:p>
    <w:p w:rsidR="004962D9" w:rsidRDefault="00D02EBA">
      <w:pPr>
        <w:spacing w:after="0"/>
        <w:jc w:val="both"/>
        <w:rPr>
          <w:rFonts w:ascii="Garamond" w:hAnsi="Garamond" w:cs="Times New Roman"/>
          <w:sz w:val="24"/>
          <w:szCs w:val="24"/>
        </w:rPr>
      </w:pPr>
      <w:r>
        <w:rPr>
          <w:rFonts w:ascii="Garamond" w:hAnsi="Garamond" w:cs="Times New Roman"/>
          <w:sz w:val="24"/>
          <w:szCs w:val="24"/>
        </w:rPr>
        <w:t>Anche se voi compropr</w:t>
      </w:r>
      <w:r>
        <w:rPr>
          <w:rFonts w:ascii="Garamond" w:hAnsi="Garamond" w:cs="Times New Roman"/>
          <w:sz w:val="24"/>
          <w:szCs w:val="24"/>
        </w:rPr>
        <w:t>ietari non siete debitori, il Tribunale può vendere tutto l’immobile (e quindi anche la vostra quota), salvo poi restituirvi la vostra parte del ricavato, dedotte le spese.</w:t>
      </w:r>
    </w:p>
    <w:p w:rsidR="004962D9" w:rsidRDefault="00D02EBA">
      <w:pPr>
        <w:spacing w:after="0"/>
        <w:jc w:val="both"/>
        <w:rPr>
          <w:rFonts w:ascii="Garamond" w:hAnsi="Garamond" w:cs="Times New Roman"/>
          <w:sz w:val="24"/>
          <w:szCs w:val="24"/>
        </w:rPr>
      </w:pPr>
      <w:r>
        <w:rPr>
          <w:rFonts w:ascii="Garamond" w:hAnsi="Garamond" w:cs="Times New Roman"/>
          <w:sz w:val="24"/>
          <w:szCs w:val="24"/>
        </w:rPr>
        <w:t>Se intendete acquistare la quota del debitore, fatelo presente al giudice o al cust</w:t>
      </w:r>
      <w:r>
        <w:rPr>
          <w:rFonts w:ascii="Garamond" w:hAnsi="Garamond" w:cs="Times New Roman"/>
          <w:sz w:val="24"/>
          <w:szCs w:val="24"/>
        </w:rPr>
        <w:t>ode.</w:t>
      </w:r>
    </w:p>
    <w:p w:rsidR="004962D9" w:rsidRDefault="00D02EBA">
      <w:pPr>
        <w:spacing w:after="0"/>
        <w:jc w:val="both"/>
        <w:rPr>
          <w:rFonts w:ascii="Garamond" w:hAnsi="Garamond" w:cs="Times New Roman"/>
          <w:sz w:val="24"/>
          <w:szCs w:val="24"/>
        </w:rPr>
      </w:pPr>
      <w:r>
        <w:rPr>
          <w:rFonts w:ascii="Garamond" w:hAnsi="Garamond" w:cs="Times New Roman"/>
          <w:sz w:val="24"/>
          <w:szCs w:val="24"/>
        </w:rPr>
        <w:t>In tal caso, si potrà procedere allo scioglimento della comunione con un processo di divisione che si svolge dinanzi allo stesso giudice dell’esecuzione; la somma versata per l’acquisto della quota si sostituirà alla quota pignorata ed il bene verrà a</w:t>
      </w:r>
      <w:r>
        <w:rPr>
          <w:rFonts w:ascii="Garamond" w:hAnsi="Garamond" w:cs="Times New Roman"/>
          <w:sz w:val="24"/>
          <w:szCs w:val="24"/>
        </w:rPr>
        <w:t>ttribuito per intero ad uno o più dei comproprietari, diversi dal debitore, che ne abbiano fatto richiesta e pagato la quota.</w:t>
      </w:r>
    </w:p>
    <w:p w:rsidR="004962D9" w:rsidRDefault="00D02EBA">
      <w:pPr>
        <w:spacing w:after="0"/>
        <w:jc w:val="both"/>
      </w:pPr>
      <w:r>
        <w:rPr>
          <w:rFonts w:ascii="Garamond" w:hAnsi="Garamond" w:cs="Times New Roman"/>
          <w:sz w:val="24"/>
          <w:szCs w:val="24"/>
        </w:rPr>
        <w:t>L’altra soluzione per evitare la vendita è che raggiungiate un accordo con i creditori pagando i debiti per conto dell’esecutato.</w:t>
      </w:r>
    </w:p>
    <w:sectPr w:rsidR="004962D9">
      <w:headerReference w:type="default" r:id="rId9"/>
      <w:footerReference w:type="default" r:id="rId10"/>
      <w:pgSz w:w="11906" w:h="16838"/>
      <w:pgMar w:top="1417" w:right="1134" w:bottom="1134" w:left="1134" w:header="708" w:footer="708"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2EBA" w:rsidRDefault="00D02EBA">
      <w:pPr>
        <w:spacing w:after="0" w:line="240" w:lineRule="auto"/>
      </w:pPr>
      <w:r>
        <w:separator/>
      </w:r>
    </w:p>
  </w:endnote>
  <w:endnote w:type="continuationSeparator" w:id="0">
    <w:p w:rsidR="00D02EBA" w:rsidRDefault="00D02E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altName w:val="Garamond"/>
    <w:panose1 w:val="02020404030301010803"/>
    <w:charset w:val="00"/>
    <w:family w:val="roman"/>
    <w:pitch w:val="variable"/>
    <w:sig w:usb0="00000287" w:usb1="00000000" w:usb2="00000000" w:usb3="00000000" w:csb0="0000009F" w:csb1="00000000"/>
  </w:font>
  <w:font w:name="Liberation Sans">
    <w:altName w:val="Arial"/>
    <w:panose1 w:val="00000000000000000000"/>
    <w:charset w:val="00"/>
    <w:family w:val="swiss"/>
    <w:notTrueType/>
    <w:pitch w:val="variable"/>
    <w:sig w:usb0="00000003" w:usb1="00000000" w:usb2="00000000" w:usb3="00000000" w:csb0="00000001" w:csb1="00000000"/>
  </w:font>
  <w:font w:name="Microsoft YaHei">
    <w:panose1 w:val="020B0503020204020204"/>
    <w:charset w:val="86"/>
    <w:family w:val="swiss"/>
    <w:pitch w:val="variable"/>
    <w:sig w:usb0="80000287" w:usb1="28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4653153"/>
      <w:docPartObj>
        <w:docPartGallery w:val="Page Numbers (Bottom of Page)"/>
        <w:docPartUnique/>
      </w:docPartObj>
    </w:sdtPr>
    <w:sdtEndPr/>
    <w:sdtContent>
      <w:p w:rsidR="004962D9" w:rsidRDefault="004962D9">
        <w:pPr>
          <w:pStyle w:val="Pidipagina"/>
          <w:jc w:val="right"/>
        </w:pPr>
      </w:p>
      <w:p w:rsidR="004962D9" w:rsidRDefault="00D02EBA">
        <w:pPr>
          <w:pStyle w:val="Pidipagina"/>
          <w:jc w:val="right"/>
        </w:pPr>
        <w:r>
          <w:fldChar w:fldCharType="begin"/>
        </w:r>
        <w:r>
          <w:instrText>PAGE</w:instrText>
        </w:r>
        <w:r>
          <w:fldChar w:fldCharType="separate"/>
        </w:r>
        <w:r w:rsidR="00994F2A">
          <w:rPr>
            <w:noProof/>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2EBA" w:rsidRDefault="00D02EBA">
      <w:pPr>
        <w:spacing w:after="0" w:line="240" w:lineRule="auto"/>
      </w:pPr>
      <w:r>
        <w:separator/>
      </w:r>
    </w:p>
  </w:footnote>
  <w:footnote w:type="continuationSeparator" w:id="0">
    <w:p w:rsidR="00D02EBA" w:rsidRDefault="00D02E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62D9" w:rsidRDefault="00D02EBA">
    <w:pPr>
      <w:pStyle w:val="Intestazione"/>
      <w:rPr>
        <w:rFonts w:ascii="Garamond" w:hAnsi="Garamond"/>
        <w:b/>
        <w:smallCaps/>
        <w:sz w:val="20"/>
        <w:szCs w:val="20"/>
        <w:u w:val="single"/>
      </w:rPr>
    </w:pPr>
    <w:r>
      <w:rPr>
        <w:rFonts w:ascii="Garamond" w:hAnsi="Garamond"/>
        <w:b/>
        <w:smallCaps/>
        <w:sz w:val="20"/>
        <w:szCs w:val="20"/>
        <w:u w:val="single"/>
      </w:rPr>
      <w:t xml:space="preserve">informativa per il debitore (rev. </w:t>
    </w:r>
    <w:r w:rsidR="00994F2A">
      <w:rPr>
        <w:rFonts w:ascii="Garamond" w:hAnsi="Garamond"/>
        <w:b/>
        <w:smallCaps/>
        <w:sz w:val="20"/>
        <w:szCs w:val="20"/>
        <w:u w:val="single"/>
      </w:rPr>
      <w:t xml:space="preserve">2019.06 – post </w:t>
    </w:r>
    <w:proofErr w:type="spellStart"/>
    <w:r w:rsidR="00994F2A">
      <w:rPr>
        <w:rFonts w:ascii="Garamond" w:hAnsi="Garamond"/>
        <w:b/>
        <w:smallCaps/>
        <w:sz w:val="20"/>
        <w:szCs w:val="20"/>
        <w:u w:val="single"/>
      </w:rPr>
      <w:t>d.l.</w:t>
    </w:r>
    <w:proofErr w:type="spellEnd"/>
    <w:r w:rsidR="00994F2A">
      <w:rPr>
        <w:rFonts w:ascii="Garamond" w:hAnsi="Garamond"/>
        <w:b/>
        <w:smallCaps/>
        <w:sz w:val="20"/>
        <w:szCs w:val="20"/>
        <w:u w:val="single"/>
      </w:rPr>
      <w:t xml:space="preserve"> </w:t>
    </w:r>
    <w:r w:rsidR="00994F2A" w:rsidRPr="00994F2A">
      <w:rPr>
        <w:rFonts w:ascii="Garamond" w:hAnsi="Garamond"/>
        <w:b/>
        <w:smallCaps/>
        <w:sz w:val="20"/>
        <w:szCs w:val="20"/>
        <w:u w:val="single"/>
      </w:rPr>
      <w:t>135</w:t>
    </w:r>
    <w:r w:rsidR="00994F2A">
      <w:rPr>
        <w:rFonts w:ascii="Garamond" w:hAnsi="Garamond"/>
        <w:b/>
        <w:smallCaps/>
        <w:sz w:val="20"/>
        <w:szCs w:val="20"/>
        <w:u w:val="single"/>
      </w:rPr>
      <w:t>/2018</w:t>
    </w:r>
    <w:r>
      <w:rPr>
        <w:rFonts w:ascii="Garamond" w:hAnsi="Garamond"/>
        <w:b/>
        <w:smallCaps/>
        <w:sz w:val="20"/>
        <w:szCs w:val="20"/>
        <w:u w:val="single"/>
      </w:rPr>
      <w:t>)</w:t>
    </w:r>
  </w:p>
  <w:p w:rsidR="004962D9" w:rsidRDefault="004962D9">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3A7470"/>
    <w:multiLevelType w:val="multilevel"/>
    <w:tmpl w:val="864A2DF8"/>
    <w:lvl w:ilvl="0">
      <w:start w:val="14"/>
      <w:numFmt w:val="bullet"/>
      <w:lvlText w:val="-"/>
      <w:lvlJc w:val="left"/>
      <w:pPr>
        <w:ind w:left="720" w:hanging="360"/>
      </w:pPr>
      <w:rPr>
        <w:rFonts w:ascii="Times New Roman" w:hAnsi="Times New Roman" w:cs="Times New Roman"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nsid w:val="7A7E7BCA"/>
    <w:multiLevelType w:val="multilevel"/>
    <w:tmpl w:val="B25CEBB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2D9"/>
    <w:rsid w:val="004962D9"/>
    <w:rsid w:val="00994F2A"/>
    <w:rsid w:val="00B6421F"/>
    <w:rsid w:val="00D02EBA"/>
    <w:rsid w:val="00E87B4F"/>
  </w:rsids>
  <m:mathPr>
    <m:mathFont m:val="Cambria Math"/>
    <m:brkBin m:val="before"/>
    <m:brkBinSub m:val="--"/>
    <m:smallFrac m:val="0"/>
    <m:dispDef/>
    <m:lMargin m:val="0"/>
    <m:rMargin m:val="0"/>
    <m:defJc m:val="centerGroup"/>
    <m:wrapIndent m:val="1440"/>
    <m:intLim m:val="subSup"/>
    <m:naryLim m:val="undOvr"/>
  </m:mathPr>
  <w:themeFontLang w:val="it-IT" w:eastAsia="ja-JP"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EF6F2F"/>
    <w:rPr>
      <w:rFonts w:ascii="Tahoma" w:hAnsi="Tahoma" w:cs="Tahoma"/>
      <w:sz w:val="16"/>
      <w:szCs w:val="16"/>
    </w:rPr>
  </w:style>
  <w:style w:type="character" w:customStyle="1" w:styleId="IntestazioneCarattere">
    <w:name w:val="Intestazione Carattere"/>
    <w:basedOn w:val="Carpredefinitoparagrafo"/>
    <w:link w:val="Intestazione"/>
    <w:qFormat/>
    <w:rsid w:val="00A122F0"/>
  </w:style>
  <w:style w:type="character" w:customStyle="1" w:styleId="PidipaginaCarattere">
    <w:name w:val="Piè di pagina Carattere"/>
    <w:basedOn w:val="Carpredefinitoparagrafo"/>
    <w:link w:val="Pidipagina"/>
    <w:uiPriority w:val="99"/>
    <w:qFormat/>
    <w:rsid w:val="00A122F0"/>
  </w:style>
  <w:style w:type="character" w:customStyle="1" w:styleId="CorpotestoCarattere">
    <w:name w:val="Corpo testo Carattere"/>
    <w:basedOn w:val="Carpredefinitoparagrafo"/>
    <w:link w:val="Corpotesto"/>
    <w:uiPriority w:val="99"/>
    <w:semiHidden/>
    <w:qFormat/>
    <w:rsid w:val="00A122F0"/>
    <w:rPr>
      <w:rFonts w:ascii="Times New Roman" w:eastAsia="Times New Roman" w:hAnsi="Times New Roman" w:cs="Times New Roman"/>
      <w:sz w:val="24"/>
      <w:szCs w:val="24"/>
      <w:lang w:eastAsia="it-IT"/>
    </w:rPr>
  </w:style>
  <w:style w:type="character" w:customStyle="1" w:styleId="ListLabel1">
    <w:name w:val="ListLabel 1"/>
    <w:qFormat/>
    <w:rPr>
      <w:rFonts w:ascii="Garamond" w:eastAsia="Calibri" w:hAnsi="Garamond" w:cs="Times New Roman"/>
      <w:sz w:val="24"/>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link w:val="CorpotestoCarattere"/>
    <w:uiPriority w:val="99"/>
    <w:semiHidden/>
    <w:unhideWhenUsed/>
    <w:rsid w:val="00A122F0"/>
    <w:pPr>
      <w:spacing w:after="120" w:line="240" w:lineRule="auto"/>
    </w:pPr>
    <w:rPr>
      <w:rFonts w:ascii="Times New Roman" w:eastAsia="Times New Roman" w:hAnsi="Times New Roman" w:cs="Times New Roman"/>
      <w:sz w:val="24"/>
      <w:szCs w:val="24"/>
      <w:lang w:eastAsia="it-IT"/>
    </w:r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Testofumetto">
    <w:name w:val="Balloon Text"/>
    <w:basedOn w:val="Normale"/>
    <w:link w:val="TestofumettoCarattere"/>
    <w:uiPriority w:val="99"/>
    <w:semiHidden/>
    <w:unhideWhenUsed/>
    <w:qFormat/>
    <w:rsid w:val="00EF6F2F"/>
    <w:pPr>
      <w:spacing w:after="0" w:line="240" w:lineRule="auto"/>
    </w:pPr>
    <w:rPr>
      <w:rFonts w:ascii="Tahoma" w:hAnsi="Tahoma" w:cs="Tahoma"/>
      <w:sz w:val="16"/>
      <w:szCs w:val="16"/>
    </w:rPr>
  </w:style>
  <w:style w:type="paragraph" w:styleId="Paragrafoelenco">
    <w:name w:val="List Paragraph"/>
    <w:basedOn w:val="Normale"/>
    <w:uiPriority w:val="34"/>
    <w:qFormat/>
    <w:rsid w:val="00EF6F2F"/>
    <w:pPr>
      <w:ind w:left="720"/>
      <w:contextualSpacing/>
    </w:pPr>
  </w:style>
  <w:style w:type="paragraph" w:styleId="Intestazione">
    <w:name w:val="header"/>
    <w:basedOn w:val="Normale"/>
    <w:link w:val="IntestazioneCarattere"/>
    <w:unhideWhenUsed/>
    <w:rsid w:val="00A122F0"/>
    <w:pPr>
      <w:tabs>
        <w:tab w:val="center" w:pos="4819"/>
        <w:tab w:val="right" w:pos="9638"/>
      </w:tabs>
      <w:spacing w:after="0" w:line="240" w:lineRule="auto"/>
    </w:pPr>
  </w:style>
  <w:style w:type="paragraph" w:styleId="Pidipagina">
    <w:name w:val="footer"/>
    <w:basedOn w:val="Normale"/>
    <w:link w:val="PidipaginaCarattere"/>
    <w:uiPriority w:val="99"/>
    <w:unhideWhenUsed/>
    <w:rsid w:val="00A122F0"/>
    <w:pPr>
      <w:tabs>
        <w:tab w:val="center" w:pos="4819"/>
        <w:tab w:val="right" w:pos="9638"/>
      </w:tabs>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EF6F2F"/>
    <w:rPr>
      <w:rFonts w:ascii="Tahoma" w:hAnsi="Tahoma" w:cs="Tahoma"/>
      <w:sz w:val="16"/>
      <w:szCs w:val="16"/>
    </w:rPr>
  </w:style>
  <w:style w:type="character" w:customStyle="1" w:styleId="IntestazioneCarattere">
    <w:name w:val="Intestazione Carattere"/>
    <w:basedOn w:val="Carpredefinitoparagrafo"/>
    <w:link w:val="Intestazione"/>
    <w:qFormat/>
    <w:rsid w:val="00A122F0"/>
  </w:style>
  <w:style w:type="character" w:customStyle="1" w:styleId="PidipaginaCarattere">
    <w:name w:val="Piè di pagina Carattere"/>
    <w:basedOn w:val="Carpredefinitoparagrafo"/>
    <w:link w:val="Pidipagina"/>
    <w:uiPriority w:val="99"/>
    <w:qFormat/>
    <w:rsid w:val="00A122F0"/>
  </w:style>
  <w:style w:type="character" w:customStyle="1" w:styleId="CorpotestoCarattere">
    <w:name w:val="Corpo testo Carattere"/>
    <w:basedOn w:val="Carpredefinitoparagrafo"/>
    <w:link w:val="Corpotesto"/>
    <w:uiPriority w:val="99"/>
    <w:semiHidden/>
    <w:qFormat/>
    <w:rsid w:val="00A122F0"/>
    <w:rPr>
      <w:rFonts w:ascii="Times New Roman" w:eastAsia="Times New Roman" w:hAnsi="Times New Roman" w:cs="Times New Roman"/>
      <w:sz w:val="24"/>
      <w:szCs w:val="24"/>
      <w:lang w:eastAsia="it-IT"/>
    </w:rPr>
  </w:style>
  <w:style w:type="character" w:customStyle="1" w:styleId="ListLabel1">
    <w:name w:val="ListLabel 1"/>
    <w:qFormat/>
    <w:rPr>
      <w:rFonts w:ascii="Garamond" w:eastAsia="Calibri" w:hAnsi="Garamond" w:cs="Times New Roman"/>
      <w:sz w:val="24"/>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link w:val="CorpotestoCarattere"/>
    <w:uiPriority w:val="99"/>
    <w:semiHidden/>
    <w:unhideWhenUsed/>
    <w:rsid w:val="00A122F0"/>
    <w:pPr>
      <w:spacing w:after="120" w:line="240" w:lineRule="auto"/>
    </w:pPr>
    <w:rPr>
      <w:rFonts w:ascii="Times New Roman" w:eastAsia="Times New Roman" w:hAnsi="Times New Roman" w:cs="Times New Roman"/>
      <w:sz w:val="24"/>
      <w:szCs w:val="24"/>
      <w:lang w:eastAsia="it-IT"/>
    </w:r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Testofumetto">
    <w:name w:val="Balloon Text"/>
    <w:basedOn w:val="Normale"/>
    <w:link w:val="TestofumettoCarattere"/>
    <w:uiPriority w:val="99"/>
    <w:semiHidden/>
    <w:unhideWhenUsed/>
    <w:qFormat/>
    <w:rsid w:val="00EF6F2F"/>
    <w:pPr>
      <w:spacing w:after="0" w:line="240" w:lineRule="auto"/>
    </w:pPr>
    <w:rPr>
      <w:rFonts w:ascii="Tahoma" w:hAnsi="Tahoma" w:cs="Tahoma"/>
      <w:sz w:val="16"/>
      <w:szCs w:val="16"/>
    </w:rPr>
  </w:style>
  <w:style w:type="paragraph" w:styleId="Paragrafoelenco">
    <w:name w:val="List Paragraph"/>
    <w:basedOn w:val="Normale"/>
    <w:uiPriority w:val="34"/>
    <w:qFormat/>
    <w:rsid w:val="00EF6F2F"/>
    <w:pPr>
      <w:ind w:left="720"/>
      <w:contextualSpacing/>
    </w:pPr>
  </w:style>
  <w:style w:type="paragraph" w:styleId="Intestazione">
    <w:name w:val="header"/>
    <w:basedOn w:val="Normale"/>
    <w:link w:val="IntestazioneCarattere"/>
    <w:unhideWhenUsed/>
    <w:rsid w:val="00A122F0"/>
    <w:pPr>
      <w:tabs>
        <w:tab w:val="center" w:pos="4819"/>
        <w:tab w:val="right" w:pos="9638"/>
      </w:tabs>
      <w:spacing w:after="0" w:line="240" w:lineRule="auto"/>
    </w:pPr>
  </w:style>
  <w:style w:type="paragraph" w:styleId="Pidipagina">
    <w:name w:val="footer"/>
    <w:basedOn w:val="Normale"/>
    <w:link w:val="PidipaginaCarattere"/>
    <w:uiPriority w:val="99"/>
    <w:unhideWhenUsed/>
    <w:rsid w:val="00A122F0"/>
    <w:pPr>
      <w:tabs>
        <w:tab w:val="center" w:pos="4819"/>
        <w:tab w:val="right" w:pos="9638"/>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1483</Words>
  <Characters>8455</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Min. Giustizia</Company>
  <LinksUpToDate>false</LinksUpToDate>
  <CharactersWithSpaces>9919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Caterina Trentini</dc:creator>
  <cp:lastModifiedBy>Elisa Pinna</cp:lastModifiedBy>
  <cp:revision>4</cp:revision>
  <dcterms:created xsi:type="dcterms:W3CDTF">2019-06-07T08:44:00Z</dcterms:created>
  <dcterms:modified xsi:type="dcterms:W3CDTF">2019-06-07T08:47:00Z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Min. Giustizia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